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5F" w:rsidRDefault="0039455F" w:rsidP="006B7AD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ab/>
        <w:t>Додаток 2</w:t>
      </w:r>
    </w:p>
    <w:p w:rsidR="006B7AD1" w:rsidRPr="00536851" w:rsidRDefault="006B7AD1" w:rsidP="006B7AD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536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істотні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характеристики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послуги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надання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споживчого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кредиту,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забезпеченого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іпотекою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містить</w:t>
      </w:r>
      <w:proofErr w:type="spellEnd"/>
      <w:proofErr w:type="gram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умови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надання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банком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послуг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споживчого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кредитування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не є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пропозицією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надання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цих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послуг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Запропоновані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індивідуальні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умови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залежатимуть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від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результатів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оцінки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банком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кредитоспроможності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проведеної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ідставі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отриманої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від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клієнта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інформації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з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інших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наявності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законних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підстав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і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надаються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клієнту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укладення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договору про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споживчий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кредит у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формі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паспорта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споживчого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кредиту)</w:t>
      </w:r>
    </w:p>
    <w:p w:rsidR="006B7AD1" w:rsidRPr="00536851" w:rsidRDefault="006B7AD1" w:rsidP="006B7AD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n333"/>
      <w:bookmarkEnd w:id="0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I.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Загальна</w:t>
      </w:r>
      <w:proofErr w:type="spellEnd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3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proofErr w:type="spellEnd"/>
    </w:p>
    <w:p w:rsidR="006B7AD1" w:rsidRPr="00536851" w:rsidRDefault="006B7AD1" w:rsidP="006B7AD1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334"/>
      <w:bookmarkEnd w:id="1"/>
      <w:proofErr w:type="spellStart"/>
      <w:r w:rsidRPr="00536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Таблиця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3"/>
        <w:gridCol w:w="4548"/>
        <w:gridCol w:w="4264"/>
      </w:tblGrid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з/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банком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банк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АКЦІОНЕРНЕ ТОВАРИСТВО «БАНК «ПОРТАЛ»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і дата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видачі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банківської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ліцензії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Ліцензія №273 від 20.09.2013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01135, місто Київ, проспект Перемоги, будинок  5а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них) телефону(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044 207 43 57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пошти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F03A07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info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bank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portal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6B7AD1" w:rsidRPr="0053685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офіційного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вебсайта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F03A07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B7AD1" w:rsidRPr="00536851">
                <w:rPr>
                  <w:rStyle w:val="a3"/>
                  <w:rFonts w:ascii="Times New Roman" w:hAnsi="Times New Roman" w:cs="Times New Roman"/>
                  <w:color w:val="284FA8"/>
                  <w:spacing w:val="8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www.bank-portal.com.ua</w:t>
              </w:r>
            </w:hyperlink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4408D7" w:rsidP="004408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Поточні</w:t>
            </w:r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потреби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ільова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клієнтів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Фізичні особи, громадяни України віком від 21 до 65 років, які мають рекомендації партнерів банку та є платоспроможними відповідно до вимог банку </w:t>
            </w:r>
          </w:p>
          <w:p w:rsidR="00237D55" w:rsidRPr="00536851" w:rsidRDefault="00237D55" w:rsidP="00237D55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Сукупні щомісячні витрати клієнта включаючи щомісячні витрати по кредиту, що запитується не повинні перевищувати 70% щомісячного обсягу  його офіційно підтверджених доходів </w:t>
            </w:r>
          </w:p>
          <w:p w:rsidR="00237D55" w:rsidRPr="00536851" w:rsidRDefault="00237D55" w:rsidP="00237D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Додаткові умови:</w:t>
            </w:r>
          </w:p>
          <w:p w:rsidR="00237D55" w:rsidRPr="00536851" w:rsidRDefault="00237D55" w:rsidP="00237D55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ind w:left="23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у власності клієнта (подружжя) житлової нерухомості;</w:t>
            </w:r>
          </w:p>
          <w:p w:rsidR="00237D55" w:rsidRPr="00536851" w:rsidRDefault="00237D55" w:rsidP="00237D55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ind w:left="23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клієнт має позитивну кредитну історію;</w:t>
            </w:r>
          </w:p>
          <w:p w:rsidR="00237D55" w:rsidRPr="00536851" w:rsidRDefault="00237D55" w:rsidP="00237D55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ind w:left="23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клієнт має відкритий поточний рахунок в банку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Сума/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іміт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EB5D6A" w:rsidRDefault="006B7AD1" w:rsidP="000A67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0A6709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0 000,00 грн. до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000 000,00 грн.</w:t>
            </w:r>
          </w:p>
          <w:p w:rsidR="0027790D" w:rsidRPr="00EB5D6A" w:rsidRDefault="0027790D" w:rsidP="0027790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зміни суми/ліміту кредиту залежить від обмежень, вказаних в п.10 та п.24 цього Додатку </w:t>
            </w:r>
          </w:p>
          <w:p w:rsidR="00EB5D6A" w:rsidRPr="00EB5D6A" w:rsidRDefault="00EB5D6A" w:rsidP="00EB5D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Зміна розміру кредиту щодо укладених договорів відбувається шляхом укладання додаткового договору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./р.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12 до 60 місяців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ставка,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ічних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26% річних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ставки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фіксована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змінювана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Фіксована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Реальна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ставка,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річних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29,37% (розраховано як приклад при наступних умовах: сума кредиту 1 000 000,00 грн., процентна ставка 26% річних, строк кредитування – 60 місяців, іпотека житлового нерухомого майна ринковою вартістю 1 600 000,00 грн.)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платіж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встановлений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орієнтовну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кредитом [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уключаючи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кредитом,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супутні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банку,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кредитного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посередника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Мінімальний та максимальний розмір усіх витрат:</w:t>
            </w:r>
          </w:p>
          <w:p w:rsidR="006B7AD1" w:rsidRPr="00D24F76" w:rsidRDefault="006B7AD1" w:rsidP="0053685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  <w:r w:rsidR="00536851" w:rsidRPr="00536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</w:t>
            </w:r>
            <w:r w:rsidR="00536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536851" w:rsidRPr="00536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940</w:t>
            </w:r>
            <w:r w:rsidR="00536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536851" w:rsidRPr="00D2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  <w:proofErr w:type="spellStart"/>
            <w:r w:rsidRPr="00D2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</w:t>
            </w:r>
            <w:proofErr w:type="spellEnd"/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(розраховано як приклад при наступних умовах: сума кредиту </w:t>
            </w:r>
            <w:r w:rsidR="00536851"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0 000,00 грн., процентна ставка 26% </w:t>
            </w:r>
            <w:proofErr w:type="gramStart"/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proofErr w:type="gramEnd"/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ічних, строк кредитування – 12 місяців, іпотека житлового нерухомого майна ринковою вартістю </w:t>
            </w:r>
            <w:r w:rsidR="00536851"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0 000,00 грн.)</w:t>
            </w:r>
          </w:p>
          <w:p w:rsidR="006B7AD1" w:rsidRPr="00536851" w:rsidRDefault="006B7AD1" w:rsidP="006B7AD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 911800,00грн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(розраховано як приклад при наступних умовах: сума кредиту          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000 000,00 грн., процентна ставка 26% річних, строк кредитування – 60 місяців, іпотека житлового нерухомого майна ринковою вартістю  4 800 000,00 грн.)</w:t>
            </w:r>
          </w:p>
          <w:p w:rsidR="006B7AD1" w:rsidRPr="00536851" w:rsidRDefault="006B7AD1" w:rsidP="006B7AD1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B7AD1" w:rsidRPr="00536851" w:rsidRDefault="006B7AD1" w:rsidP="006B7AD1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Платежі за додаткові та супутні послуги банку та/або третіх осіб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язане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необхідністю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супутніх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рядків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23-27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банками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банківських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укласти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супутніх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обраною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третьою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особою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включеною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відповідають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такого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визначається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банком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надає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надає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споживачам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супутні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банком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банком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надають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споживачам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супутні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язан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включає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менше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трьох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кожного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6B7AD1" w:rsidRPr="00536851" w:rsidRDefault="006B7AD1" w:rsidP="006B7AD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нотаріуса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>0,1% від ринкової вартості предмету застави плюс 5000,00 грн.</w:t>
            </w:r>
          </w:p>
          <w:p w:rsidR="000306A1" w:rsidRPr="00536851" w:rsidRDefault="000306A1" w:rsidP="000306A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оцінювача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>від  2000,00 грн. (в залежності від типу майна, що пропонується в заставу)</w:t>
            </w:r>
          </w:p>
          <w:p w:rsidR="006B7AD1" w:rsidRPr="00536851" w:rsidRDefault="006B7AD1" w:rsidP="00FC3B81">
            <w:pPr>
              <w:spacing w:before="150" w:after="15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весь 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кредитом (сума кредиту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кредитом),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FC3B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Мінімальний та максимальний розмір усіх витрат:</w:t>
            </w:r>
          </w:p>
          <w:p w:rsidR="006B7AD1" w:rsidRPr="00D24F76" w:rsidRDefault="006B7AD1" w:rsidP="006B7AD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133 160,02грн</w:t>
            </w:r>
            <w:r w:rsidRPr="00D24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(розраховано як приклад при наступних умовах: сума кредиту 100 000,00 грн., процентна ставка 26% річних, строк кредитування – 12 місяців, іпотека житлового нерухомого майна ринковою вартістю 160 000,00 грн.)</w:t>
            </w:r>
          </w:p>
          <w:p w:rsidR="006B7AD1" w:rsidRPr="00536851" w:rsidRDefault="006B7AD1" w:rsidP="006B7AD1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 911800,00грн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(розраховано як приклад при наступних умовах: сума кредиту           3 000 000,00 грн., процентна ставка 26% річних, строк кредитування – 60 місяців, іпотека житлового нерухомого майна ринковою вартістю  4800 000,00 грн.)</w:t>
            </w:r>
          </w:p>
          <w:p w:rsidR="006B7AD1" w:rsidRPr="00536851" w:rsidRDefault="006B7AD1" w:rsidP="00FC3B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кредитом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Застава/порука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2D13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</w:tr>
      <w:tr w:rsidR="006B7AD1" w:rsidRPr="00EB5D6A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застави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7F0" w:rsidRPr="00536851" w:rsidRDefault="000306A1" w:rsidP="00BF47F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Нерухоме майно</w:t>
            </w:r>
            <w:r w:rsidR="00BF47F0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F47F0" w:rsidRPr="00536851" w:rsidRDefault="00BF47F0" w:rsidP="00BF47F0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житлова нерухомість (квартири, будинки разом із земельними ділянками)</w:t>
            </w:r>
            <w:r w:rsid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нежитлова нерухомість (офіси,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торгівельні приміщення, виробничі приміщення, тощо) </w:t>
            </w:r>
          </w:p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ринкова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вартість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/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 на суму,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рядка 11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банками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банківських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2D13D6" w:rsidP="002D13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застосовується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пропорційної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доступного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ринкової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/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2D13D6" w:rsidP="002D13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Мінімальна вартість нерухомого майна має бути на 60% вищою від суми запитуваного кредиту 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Порядок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Періодичність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0306A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D743FB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домовленістю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0306A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щомісячно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0306A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3FB" w:rsidRPr="002950E5" w:rsidRDefault="00D743FB" w:rsidP="00D743FB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50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Відсотки  нараховуються щомісяця на залишок заборгованості за кредитом і сплачуються протягом перших 10 календарних днів наступного місяця за місяцем нарахування відсотків.</w:t>
            </w:r>
          </w:p>
          <w:p w:rsidR="00D743FB" w:rsidRPr="002950E5" w:rsidRDefault="00D743FB" w:rsidP="00D74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50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Погашення основної суми заборгованості здійснюється відповідно до умов кредитного договору</w:t>
            </w:r>
          </w:p>
          <w:p w:rsidR="002950E5" w:rsidRPr="002950E5" w:rsidRDefault="00D743FB" w:rsidP="002950E5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Порядок погашення:</w:t>
            </w:r>
            <w:r w:rsidR="002950E5"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2950E5" w:rsidRPr="002950E5" w:rsidRDefault="002950E5" w:rsidP="002950E5">
            <w:pPr>
              <w:pStyle w:val="a4"/>
              <w:ind w:left="318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1) прострочені проценти;</w:t>
            </w:r>
          </w:p>
          <w:p w:rsidR="002950E5" w:rsidRPr="002950E5" w:rsidRDefault="002950E5" w:rsidP="002950E5">
            <w:pPr>
              <w:pStyle w:val="a4"/>
              <w:ind w:left="318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2) прострочена заборгованість за основним боргом (Кредитом);</w:t>
            </w:r>
          </w:p>
          <w:p w:rsidR="002950E5" w:rsidRPr="002950E5" w:rsidRDefault="002950E5" w:rsidP="002950E5">
            <w:pPr>
              <w:pStyle w:val="a4"/>
              <w:ind w:left="318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3) строкові проценти;</w:t>
            </w:r>
          </w:p>
          <w:p w:rsidR="002950E5" w:rsidRPr="002950E5" w:rsidRDefault="002950E5" w:rsidP="002950E5">
            <w:pPr>
              <w:pStyle w:val="a4"/>
              <w:ind w:left="318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4) строкова заборгованість за основним боргом (Кредитом);</w:t>
            </w:r>
          </w:p>
          <w:p w:rsidR="002950E5" w:rsidRPr="002950E5" w:rsidRDefault="002950E5" w:rsidP="002950E5">
            <w:pPr>
              <w:pStyle w:val="a4"/>
              <w:ind w:left="318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5) штрафи, пені, неустойка та інші платежі. </w:t>
            </w:r>
          </w:p>
          <w:p w:rsidR="002950E5" w:rsidRPr="002950E5" w:rsidRDefault="002950E5" w:rsidP="002950E5">
            <w:pPr>
              <w:pStyle w:val="CMSHeadL3"/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 разі недостатності суми здійсненого платежу для виконання зобов'язання у повному обсязі ця сума погашає вимоги Банку у такій черговості:</w:t>
            </w:r>
          </w:p>
          <w:p w:rsidR="002950E5" w:rsidRPr="002950E5" w:rsidRDefault="002950E5" w:rsidP="002950E5">
            <w:pPr>
              <w:pStyle w:val="CMSHeadL3"/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1) у першу чергу сплачуються прострочена до повернення сума кредиту та прострочені проценти за користування кредитом;</w:t>
            </w:r>
          </w:p>
          <w:p w:rsidR="002950E5" w:rsidRPr="002950E5" w:rsidRDefault="002950E5" w:rsidP="002950E5">
            <w:pPr>
              <w:pStyle w:val="CMSHeadL3"/>
              <w:spacing w:after="0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2) у другу чергу сплачуються сума кредиту та проценти за користування кредитом;</w:t>
            </w:r>
          </w:p>
          <w:p w:rsidR="000306A1" w:rsidRPr="002950E5" w:rsidRDefault="002950E5" w:rsidP="002950E5">
            <w:pPr>
              <w:pStyle w:val="CMSHeadL3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50E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3) у третю чергу сплачуються неустойка та інші платежі відповідно до умов договору.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2950E5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термінал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самообслуговування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2950E5" w:rsidRDefault="002D13D6" w:rsidP="002D13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50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Так. Шляхом поповнення на рахунки обліку кредитної заборгованості/ процентів, вказаних в Кредитному договорі. Може стягуватись комісія оператора терміналу самообслуговування в залежності від суми погашення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операційну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касу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2D13D6" w:rsidP="002D13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Так, безкоштовно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систему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дистанційного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A1339F" w:rsidP="00A133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Так. Через систему дистанційного обслуговування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PORTAL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LINK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розмірі </w:t>
            </w:r>
            <w:r w:rsidR="00D743FB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(три)</w:t>
            </w:r>
            <w:r w:rsidR="00D743FB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гривні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кожен платіж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спосіб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2D13D6" w:rsidP="00A357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Так. </w:t>
            </w:r>
            <w:r w:rsidR="00A1339F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Шляхом безготівкового перерахування на рахун</w:t>
            </w:r>
            <w:r w:rsidR="00A35701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 обліку кредитної заборгованості/ процентів, вказаних в Кредитному договорі. Плату може стягувати банк, через який здійснюється таке перерахування. Безготівкове зарахування коштів – безкоштовне.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Попередження: клієнт повертає суму кредиту, комісії та відсотки за його користування відповідно до умов договору та вимог за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конодавства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827493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уключаючи:</w:t>
            </w:r>
          </w:p>
          <w:p w:rsidR="006B7AD1" w:rsidRPr="00536851" w:rsidRDefault="00827493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 у строки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графіком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 (у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вигляді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графік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надаватися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B7AD1" w:rsidRPr="00536851" w:rsidRDefault="00827493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дострокове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будь-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та без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плати,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достроковим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періодичних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B7AD1" w:rsidRPr="00536851" w:rsidRDefault="00827493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періодичних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кредитом.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договором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платежу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зобов’язання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невиконання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договором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Неустойка (штраф, пеня)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прострочення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D743FB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Пеня у розмірі подвійної облікової ставки Національного банку України, чинної у період прострочення, від суми заборгованості за </w:t>
            </w:r>
            <w:r w:rsidR="002D13D6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кредитом та/а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 за несплаченими процентами за кожний календарний день прострочення</w:t>
            </w:r>
          </w:p>
          <w:p w:rsidR="006B7AD1" w:rsidRPr="00536851" w:rsidRDefault="00D743FB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Сукупна сума неустойки (штраф, пеня), нарахована за порушення зобов'язань за договором, не може перевищувати розміру, встановленого чинним законодавством України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відсоткі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D743FB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Пеня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подвійної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облікової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ставки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прострочення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заборгованості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</w:t>
            </w:r>
            <w:r w:rsidR="00801F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ом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несплаченими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процентами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прострочення</w:t>
            </w:r>
            <w:proofErr w:type="spellEnd"/>
          </w:p>
          <w:p w:rsidR="006B7AD1" w:rsidRPr="00536851" w:rsidRDefault="00D743FB" w:rsidP="00D74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Сукупна сума неустойки (штраф, пеня), нарахована за порушення зобов'язань за договором, не може перевищувати розміру, встановленого чинним законодавством України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D743FB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відсутня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Неустойка (штраф, пеня)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невиконання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умов договору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D743FB" w:rsidP="00D74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порушення термінів/строків надання документів та/або інформації, обов‘язок надання передбачений договором, штраф в розмірі 500,00 грн (п‘ятсот гривень) за кожний факт порушення.</w:t>
            </w:r>
          </w:p>
          <w:p w:rsidR="006B7AD1" w:rsidRPr="00536851" w:rsidRDefault="00D743FB" w:rsidP="00D74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Сукупна сума неустойки (штраф, пеня), нарахована за порушення зобов'язань за договором, не може перевищувати розміру, встановленого чинним законодавством України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заходи: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483F" w:rsidRPr="00536851" w:rsidRDefault="00EC483F" w:rsidP="00EC48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Вимагати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дострокового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умов,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Договором,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C483F" w:rsidRPr="00536851" w:rsidRDefault="00EC483F" w:rsidP="00EC48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цільовим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C483F" w:rsidRPr="00536851" w:rsidRDefault="00EC483F" w:rsidP="00EC48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погіршення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позичальника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невідповідності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кредитодавця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та/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податкової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позичальника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та/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арешту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грошові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позичальника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іковуються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поточному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позичальника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АТ «БАНК «ПОРТАЛ».</w:t>
            </w:r>
          </w:p>
          <w:p w:rsidR="006B7AD1" w:rsidRPr="00536851" w:rsidRDefault="00EC483F" w:rsidP="00D82C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укладання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іпотеки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та/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поруки в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– в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іквідації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смерті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заставодавця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іпотекодавця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та/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поручителя,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відкриття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провадження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справі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банкрутство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відкриття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ліквідаційної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заставодавця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іпотекодавця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та/ </w:t>
            </w:r>
            <w:proofErr w:type="spellStart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80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поручителя.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EC483F" w:rsidP="00EC48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Щомісячно надається</w:t>
            </w:r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кредитного бюро / Кредитного </w:t>
            </w:r>
            <w:proofErr w:type="spellStart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реєстру</w:t>
            </w:r>
            <w:proofErr w:type="spellEnd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6B7AD1"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згідно з нормативними актами регулятора та чинним законодавством України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стягнення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майнові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незавершений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нерухоме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="00EC483F"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здійснюється згідно з укладеними договорами шляхом судового та позасудового врегулювання</w:t>
            </w:r>
            <w:proofErr w:type="gram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нерухомого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договором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кредиту,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стягнення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банк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задовольняє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заборгованості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кредитом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рахунок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потеку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нерухомого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позасудовому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порядку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застереження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іпотечному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банком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припиняється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заборгованості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договором,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іпотечного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8" w:tgtFrame="_blank" w:history="1">
              <w:r w:rsidRPr="00536851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 xml:space="preserve">Закону </w:t>
              </w:r>
              <w:proofErr w:type="spellStart"/>
              <w:r w:rsidRPr="00536851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"Про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іпотеку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Права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договору:</w:t>
            </w:r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пояснень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безкоштовне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паперовому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вигляді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вибором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коли банк не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бажає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продовжувати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клієнтом</w:t>
            </w:r>
            <w:proofErr w:type="spell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кредитоспроможності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уключаючи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міститься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бюро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Кредитному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</w:tr>
      <w:tr w:rsidR="006B7AD1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D1" w:rsidRPr="00536851" w:rsidRDefault="006B7AD1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Споживач має право протягом 14 календарних днів з дня укладення договору про споживчий кредит відмовитися від договору про споживчий кредит без пояснення причин, у тому числі в разі отримання ним грошових коштів.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Про намір відмовитися від договору про споживчий кредит споживач повідомляє </w:t>
            </w:r>
            <w:proofErr w:type="spellStart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кредитодавця</w:t>
            </w:r>
            <w:proofErr w:type="spellEnd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письмовій формі (у паперовому вигляді або у вигляді електронного документа, створеного згідно з вимогами, визначеними Законом України "Про електронні документи та електронний документообіг") до закінчення строку, встановленого частиною першою цієї статті.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Якщо споживач подає повідомлення не особисто, воно має бути засвідчене нотаріально або подане і підписане представником за наявності довіреності на вчинення таких дій.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Протягом семи календарних днів з дати подання письмового повідомлення про відмову від договору про споживчий кредит споживач зобов'язаний повернути </w:t>
            </w:r>
            <w:proofErr w:type="spellStart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кредитодавцю</w:t>
            </w:r>
            <w:proofErr w:type="spellEnd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грошові кошти, одержані згідно з цим договором, та сплатити проценти за період з дня одержання коштів до дня їх повернення за ставкою, встановленою договором про споживчий кредит.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Споживач не зобов'язаний сплачувати будь-які інші платежі у зв'язку з відмовою від договору про споживчий кредит.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Відмова від договору про споживчий кредит є підставою для припинення договорів щодо додаткових чи супутніх послуг, що були визначені як обов'язкові для отримання кредиту, укладених споживачем. </w:t>
            </w:r>
            <w:proofErr w:type="spellStart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Кредитодавець</w:t>
            </w:r>
            <w:proofErr w:type="spellEnd"/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або третя сторона зобов'язані повернути споживачу кошти, сплачені ним за такі додаткові чи супутні послуги, не пізніш як протягом 14 календарних днів з дня подання письмового повідомлення про відмову від договору про споживчий кредит, якщо такі послуги не були фактично надані до дня відмови споживача від договору про споживчий кредит у порядку, визначеному законодавством.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Право на відмову від договору про споживчий кредит не застосовується щодо:</w:t>
            </w:r>
          </w:p>
          <w:p w:rsidR="00622660" w:rsidRP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договорів про споживчий кредит, виконання зобов'язань за якими забезпечено шляхом укладення нотаріально посвідчених договорів (правочинів);</w:t>
            </w:r>
          </w:p>
          <w:p w:rsidR="00622660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споживчих кредитів, наданих на придбання робіт (послуг), виконання яких відбулося до закінчення строку відмови від договору про споживчий кредит, встановленого частиною першою цієї статті.</w:t>
            </w:r>
          </w:p>
          <w:p w:rsidR="00622660" w:rsidRPr="004C216D" w:rsidRDefault="00622660" w:rsidP="0062266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Окрім того, Позичальник п</w:t>
            </w:r>
            <w:r w:rsidRPr="006226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ротягом терміну дії договору, повністю або частково, достроково повертати грошові кошти, отримані за договором та достроково розірвати договір після його повного виконання.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76D7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8702F4" w:rsidRDefault="004C216D" w:rsidP="004C76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споживчого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кредиту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8702F4" w:rsidRDefault="004C216D" w:rsidP="008702F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банком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заявою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="005044A7" w:rsidRPr="0050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4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044A7" w:rsidRPr="0050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="00504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робочих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заявою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04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30 календарних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2A792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D82C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14 робочих днів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D82C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календарних днів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рядках 2, 4 - 7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ільше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дня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подовження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місячний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вирішити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неможливо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не повинен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перевищувати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сорока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п'яти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14 днів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4C216D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розділі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на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сторінці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офіційного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Інтернет-представництва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ільше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дня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подовження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місячний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вирішити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неможливо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не повинен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перевищувати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сорока </w:t>
            </w:r>
            <w:proofErr w:type="spellStart"/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п'яти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536851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суду:</w:t>
            </w:r>
          </w:p>
        </w:tc>
      </w:tr>
      <w:tr w:rsidR="004C216D" w:rsidRPr="00536851" w:rsidTr="004C216D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216D" w:rsidRPr="00536851" w:rsidRDefault="004C216D" w:rsidP="004C216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216D" w:rsidRPr="00536851" w:rsidRDefault="004C216D" w:rsidP="006B7A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звертається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</w:t>
            </w:r>
            <w:proofErr w:type="gram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порядку,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визначеному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клієнти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споживачі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звільняються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сплати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судового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збору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позовами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пов'язаними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як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53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42DB7" w:rsidRPr="00536851" w:rsidRDefault="00542DB7">
      <w:pPr>
        <w:rPr>
          <w:sz w:val="28"/>
          <w:szCs w:val="28"/>
        </w:rPr>
      </w:pPr>
    </w:p>
    <w:sectPr w:rsidR="00542DB7" w:rsidRPr="00536851" w:rsidSect="004C21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01A"/>
    <w:multiLevelType w:val="hybridMultilevel"/>
    <w:tmpl w:val="652221A6"/>
    <w:lvl w:ilvl="0" w:tplc="933E15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E7CF3"/>
    <w:multiLevelType w:val="hybridMultilevel"/>
    <w:tmpl w:val="75B64C88"/>
    <w:lvl w:ilvl="0" w:tplc="4080EE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41320"/>
    <w:multiLevelType w:val="hybridMultilevel"/>
    <w:tmpl w:val="05BEC932"/>
    <w:lvl w:ilvl="0" w:tplc="0630DA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D1"/>
    <w:rsid w:val="000306A1"/>
    <w:rsid w:val="000A6709"/>
    <w:rsid w:val="00237D55"/>
    <w:rsid w:val="0027790D"/>
    <w:rsid w:val="002950E5"/>
    <w:rsid w:val="002D13D6"/>
    <w:rsid w:val="003326FA"/>
    <w:rsid w:val="0039455F"/>
    <w:rsid w:val="004408D7"/>
    <w:rsid w:val="004C216D"/>
    <w:rsid w:val="004C76D7"/>
    <w:rsid w:val="005044A7"/>
    <w:rsid w:val="00536851"/>
    <w:rsid w:val="00542DB7"/>
    <w:rsid w:val="0055374E"/>
    <w:rsid w:val="005E505D"/>
    <w:rsid w:val="00622660"/>
    <w:rsid w:val="006B7AD1"/>
    <w:rsid w:val="006D0997"/>
    <w:rsid w:val="00801F7C"/>
    <w:rsid w:val="00827493"/>
    <w:rsid w:val="008702F4"/>
    <w:rsid w:val="00A1339F"/>
    <w:rsid w:val="00A35701"/>
    <w:rsid w:val="00BF47F0"/>
    <w:rsid w:val="00D24F76"/>
    <w:rsid w:val="00D743FB"/>
    <w:rsid w:val="00D82C8A"/>
    <w:rsid w:val="00E35EC8"/>
    <w:rsid w:val="00EB5D6A"/>
    <w:rsid w:val="00E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A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09"/>
    <w:rPr>
      <w:rFonts w:ascii="Tahoma" w:hAnsi="Tahoma" w:cs="Tahoma"/>
      <w:sz w:val="16"/>
      <w:szCs w:val="16"/>
    </w:rPr>
  </w:style>
  <w:style w:type="character" w:customStyle="1" w:styleId="CMSHeadL3Char">
    <w:name w:val="CMS Head L3 Char"/>
    <w:basedOn w:val="a0"/>
    <w:link w:val="CMSHeadL3"/>
    <w:locked/>
    <w:rsid w:val="002950E5"/>
  </w:style>
  <w:style w:type="paragraph" w:customStyle="1" w:styleId="CMSHeadL3">
    <w:name w:val="CMS Head L3"/>
    <w:basedOn w:val="a"/>
    <w:link w:val="CMSHeadL3Char"/>
    <w:rsid w:val="002950E5"/>
    <w:pPr>
      <w:spacing w:after="24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A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09"/>
    <w:rPr>
      <w:rFonts w:ascii="Tahoma" w:hAnsi="Tahoma" w:cs="Tahoma"/>
      <w:sz w:val="16"/>
      <w:szCs w:val="16"/>
    </w:rPr>
  </w:style>
  <w:style w:type="character" w:customStyle="1" w:styleId="CMSHeadL3Char">
    <w:name w:val="CMS Head L3 Char"/>
    <w:basedOn w:val="a0"/>
    <w:link w:val="CMSHeadL3"/>
    <w:locked/>
    <w:rsid w:val="002950E5"/>
  </w:style>
  <w:style w:type="paragraph" w:customStyle="1" w:styleId="CMSHeadL3">
    <w:name w:val="CMS Head L3"/>
    <w:basedOn w:val="a"/>
    <w:link w:val="CMSHeadL3Char"/>
    <w:rsid w:val="002950E5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98-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nk-portal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nk-portal.com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Лисак</dc:creator>
  <cp:lastModifiedBy>Олена Дерипащук</cp:lastModifiedBy>
  <cp:revision>2</cp:revision>
  <cp:lastPrinted>2020-12-28T14:58:00Z</cp:lastPrinted>
  <dcterms:created xsi:type="dcterms:W3CDTF">2023-06-16T11:05:00Z</dcterms:created>
  <dcterms:modified xsi:type="dcterms:W3CDTF">2023-06-16T11:05:00Z</dcterms:modified>
</cp:coreProperties>
</file>